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E57ABD" w14:textId="77777777" w:rsidR="005A57B1" w:rsidRDefault="005A57B1" w:rsidP="00323684">
      <w:pPr>
        <w:spacing w:before="0" w:after="0" w:line="480" w:lineRule="auto"/>
        <w:contextualSpacing/>
        <w:jc w:val="center"/>
      </w:pPr>
    </w:p>
    <w:p w14:paraId="2DA2A89C" w14:textId="77777777" w:rsidR="005A57B1" w:rsidRDefault="005A57B1" w:rsidP="00323684">
      <w:pPr>
        <w:spacing w:before="0" w:after="0" w:line="480" w:lineRule="auto"/>
        <w:contextualSpacing/>
        <w:jc w:val="center"/>
      </w:pPr>
    </w:p>
    <w:p w14:paraId="542B3D91" w14:textId="77777777" w:rsidR="005A57B1" w:rsidRDefault="005A57B1" w:rsidP="00323684">
      <w:pPr>
        <w:spacing w:before="0" w:after="0" w:line="480" w:lineRule="auto"/>
        <w:contextualSpacing/>
        <w:jc w:val="center"/>
      </w:pPr>
    </w:p>
    <w:p w14:paraId="19E5B5CD" w14:textId="77777777" w:rsidR="005A57B1" w:rsidRDefault="005A57B1" w:rsidP="00323684">
      <w:pPr>
        <w:spacing w:before="0" w:after="0" w:line="480" w:lineRule="auto"/>
        <w:contextualSpacing/>
        <w:jc w:val="center"/>
      </w:pPr>
    </w:p>
    <w:p w14:paraId="50E5AD92" w14:textId="77777777" w:rsidR="00323684" w:rsidRDefault="00323684" w:rsidP="00323684">
      <w:pPr>
        <w:spacing w:before="0" w:after="0" w:line="480" w:lineRule="auto"/>
        <w:contextualSpacing/>
        <w:jc w:val="center"/>
      </w:pPr>
    </w:p>
    <w:p w14:paraId="1640A809" w14:textId="77777777" w:rsidR="00323684" w:rsidRDefault="00323684" w:rsidP="00323684">
      <w:pPr>
        <w:spacing w:before="0" w:after="0" w:line="480" w:lineRule="auto"/>
        <w:contextualSpacing/>
        <w:jc w:val="center"/>
      </w:pPr>
    </w:p>
    <w:p w14:paraId="497B2D9F" w14:textId="77777777" w:rsidR="00323684" w:rsidRDefault="00323684" w:rsidP="00323684">
      <w:pPr>
        <w:spacing w:before="0" w:after="0" w:line="480" w:lineRule="auto"/>
        <w:contextualSpacing/>
        <w:jc w:val="center"/>
      </w:pPr>
    </w:p>
    <w:p w14:paraId="15920A20" w14:textId="77777777" w:rsidR="00323684" w:rsidRDefault="00323684" w:rsidP="00323684">
      <w:pPr>
        <w:spacing w:before="0" w:after="0" w:line="480" w:lineRule="auto"/>
        <w:contextualSpacing/>
        <w:jc w:val="center"/>
      </w:pPr>
    </w:p>
    <w:p w14:paraId="1E9B2D8B" w14:textId="77777777" w:rsidR="00323684" w:rsidRDefault="00323684" w:rsidP="00323684">
      <w:pPr>
        <w:spacing w:before="0" w:after="0" w:line="480" w:lineRule="auto"/>
        <w:contextualSpacing/>
        <w:jc w:val="center"/>
      </w:pPr>
    </w:p>
    <w:p w14:paraId="1C7C2FF3" w14:textId="77777777" w:rsidR="005A57B1" w:rsidRDefault="00737601" w:rsidP="00323684">
      <w:pPr>
        <w:spacing w:before="0" w:after="0" w:line="480" w:lineRule="auto"/>
        <w:contextualSpacing/>
        <w:jc w:val="center"/>
      </w:pPr>
      <w:r>
        <w:t>Individuals Suited for Pretrial Release</w:t>
      </w:r>
    </w:p>
    <w:p w14:paraId="634832C6" w14:textId="038D726F" w:rsidR="005A57B1" w:rsidRDefault="00737601" w:rsidP="00323684">
      <w:pPr>
        <w:spacing w:before="0" w:after="0" w:line="480" w:lineRule="auto"/>
        <w:contextualSpacing/>
        <w:jc w:val="center"/>
        <w:rPr>
          <w:rFonts w:cs="Times New Roman"/>
          <w:szCs w:val="24"/>
        </w:rPr>
      </w:pPr>
      <w:r>
        <w:rPr>
          <w:rFonts w:cs="Times New Roman"/>
          <w:szCs w:val="24"/>
        </w:rPr>
        <w:t>Student</w:t>
      </w:r>
      <w:r w:rsidR="00AD6699">
        <w:rPr>
          <w:rFonts w:cs="Times New Roman"/>
          <w:szCs w:val="24"/>
        </w:rPr>
        <w:t>’s Name</w:t>
      </w:r>
      <w:r>
        <w:rPr>
          <w:rFonts w:cs="Times New Roman"/>
          <w:szCs w:val="24"/>
        </w:rPr>
        <w:t>:</w:t>
      </w:r>
    </w:p>
    <w:p w14:paraId="5BED7C75" w14:textId="77777777" w:rsidR="005A57B1" w:rsidRDefault="00737601" w:rsidP="00323684">
      <w:pPr>
        <w:spacing w:before="0" w:after="0" w:line="480" w:lineRule="auto"/>
        <w:contextualSpacing/>
        <w:jc w:val="center"/>
        <w:rPr>
          <w:rFonts w:cs="Times New Roman"/>
          <w:szCs w:val="24"/>
        </w:rPr>
      </w:pPr>
      <w:r>
        <w:rPr>
          <w:rFonts w:cs="Times New Roman"/>
          <w:szCs w:val="24"/>
        </w:rPr>
        <w:t>Institutional Affiliation:</w:t>
      </w:r>
    </w:p>
    <w:p w14:paraId="40CC6CD8" w14:textId="77777777" w:rsidR="005A57B1" w:rsidRDefault="00737601" w:rsidP="00323684">
      <w:pPr>
        <w:spacing w:before="0" w:after="0" w:line="480" w:lineRule="auto"/>
        <w:contextualSpacing/>
        <w:jc w:val="left"/>
      </w:pPr>
      <w:r>
        <w:br w:type="page"/>
      </w:r>
      <w:bookmarkStart w:id="0" w:name="_GoBack"/>
      <w:bookmarkEnd w:id="0"/>
    </w:p>
    <w:p w14:paraId="7D787A39" w14:textId="77777777" w:rsidR="005A57B1" w:rsidRDefault="00737601" w:rsidP="00323684">
      <w:pPr>
        <w:spacing w:before="0" w:after="0" w:line="480" w:lineRule="auto"/>
        <w:contextualSpacing/>
        <w:jc w:val="center"/>
      </w:pPr>
      <w:r w:rsidRPr="005A57B1">
        <w:lastRenderedPageBreak/>
        <w:t>Individuals Suited for Pretrial Release</w:t>
      </w:r>
    </w:p>
    <w:p w14:paraId="2E47630E" w14:textId="70A7AC1C" w:rsidR="003743BB" w:rsidRDefault="003743BB" w:rsidP="003743BB">
      <w:pPr>
        <w:spacing w:before="0" w:after="0" w:line="480" w:lineRule="auto"/>
        <w:ind w:firstLine="720"/>
        <w:contextualSpacing/>
      </w:pPr>
      <w:r>
        <w:t>Pretrial release happens when a defendant is released from the jail while their case is still pending. For the release to be effective, provision of a bond is the first step. The bond acts as the contract of getting out of the jail. Cash, surety and personal recognized are the most common type of bonds that are paid during pretrial release. However, the kind of bond a suspect is released with depends on the decision of the judicial officers or the judge (</w:t>
      </w:r>
      <w:proofErr w:type="spellStart"/>
      <w:r>
        <w:t>Pinchevsky</w:t>
      </w:r>
      <w:proofErr w:type="spellEnd"/>
      <w:r>
        <w:t xml:space="preserve"> &amp; Steiner, 2016).  The judicial officers also have to decide if they will accord pretrial release on conditions or else they will temporary detain the defendant. Pending the adjudication of charges, the law usually favors the defendant's release. Pretrial safeguard is provided to govern the proceeding of the pretrial detention. </w:t>
      </w:r>
      <w:r w:rsidR="008724FD">
        <w:t xml:space="preserve">This research aims at focusing on pretrial release and the kind of individual suited by this release should </w:t>
      </w:r>
      <w:r w:rsidR="008F66AB">
        <w:t xml:space="preserve">a </w:t>
      </w:r>
      <w:r w:rsidR="008724FD">
        <w:t xml:space="preserve">particular incident happens. </w:t>
      </w:r>
    </w:p>
    <w:p w14:paraId="03AFD074" w14:textId="77777777" w:rsidR="003743BB" w:rsidRDefault="003743BB" w:rsidP="003743BB">
      <w:pPr>
        <w:spacing w:before="0" w:after="0" w:line="480" w:lineRule="auto"/>
        <w:ind w:firstLine="720"/>
        <w:contextualSpacing/>
      </w:pPr>
      <w:r>
        <w:t>Several reasons lead to pretrial release. First, a pretrial release may be executed to protect the victim of that offense and also the witnesses and the community from a particular threat. Secondly, an interface or a danger is perceived, pretrial release decision may be made.  Another reason for making a pretrial decision may be to maintain the integrity of the judicial process in securing the trial (</w:t>
      </w:r>
      <w:proofErr w:type="spellStart"/>
      <w:r>
        <w:t>Pinchevsky</w:t>
      </w:r>
      <w:proofErr w:type="spellEnd"/>
      <w:r>
        <w:t xml:space="preserve"> &amp; Steiner, 2016). </w:t>
      </w:r>
    </w:p>
    <w:p w14:paraId="0ADCA6BE" w14:textId="77777777" w:rsidR="003743BB" w:rsidRDefault="003743BB" w:rsidP="003743BB">
      <w:pPr>
        <w:spacing w:before="0" w:after="0" w:line="480" w:lineRule="auto"/>
        <w:ind w:firstLine="720"/>
        <w:contextualSpacing/>
      </w:pPr>
      <w:r>
        <w:t>Moreover, not all offense suspects can be accorded pretrial release. Some suspects are suited for pretrial released while others are denied due to the nature of their offenses or issues to deal with tampering with witnesses and available evidence (Levin, 2007).</w:t>
      </w:r>
    </w:p>
    <w:p w14:paraId="4DF58E21" w14:textId="5A5DBC01" w:rsidR="003743BB" w:rsidRDefault="008724FD" w:rsidP="003743BB">
      <w:pPr>
        <w:spacing w:before="0" w:after="0" w:line="480" w:lineRule="auto"/>
        <w:ind w:firstLine="720"/>
        <w:contextualSpacing/>
      </w:pPr>
      <w:r>
        <w:t>Individuals’</w:t>
      </w:r>
      <w:r w:rsidR="003743BB">
        <w:t xml:space="preserve"> fond making road traffic offenses are suited for pretrial release. The judge will have to determine the type of bond they should offer then give them pretrial release conditions. Such crimes include careless driving and unlicensed driving. However, individual caught with road </w:t>
      </w:r>
      <w:r w:rsidR="003743BB">
        <w:lastRenderedPageBreak/>
        <w:t>traffic offenses of driving under the high influence of drugs hence causing injuries are denied pretrial release (</w:t>
      </w:r>
      <w:proofErr w:type="spellStart"/>
      <w:r w:rsidR="003743BB">
        <w:t>Oleson</w:t>
      </w:r>
      <w:proofErr w:type="spellEnd"/>
      <w:r w:rsidR="003743BB">
        <w:t xml:space="preserve"> et al., 2016). </w:t>
      </w:r>
    </w:p>
    <w:p w14:paraId="605A7049" w14:textId="77777777" w:rsidR="003743BB" w:rsidRDefault="003743BB" w:rsidP="003743BB">
      <w:pPr>
        <w:spacing w:before="0" w:after="0" w:line="480" w:lineRule="auto"/>
        <w:ind w:firstLine="720"/>
        <w:contextualSpacing/>
      </w:pPr>
      <w:r>
        <w:t xml:space="preserve">Individuals detained with minor assaults offences also are suited for pretrial release. Individuals prosecuted for assaulting other either by use of abusive language or threatening language can qualify for pretrial release. The judicial officials will have to determine the amount and type of bond that the defendant will have to pay. However, if the victim is a child or a family member, the defendant may be denied pretrial release (Levin, 2007). The decision will be made by the judge basing on the argument of protecting the victims and community members. Minor assaults offenses caused by the influence of alcohols and other drugs may make the defendant also to be denied pretrial release. </w:t>
      </w:r>
    </w:p>
    <w:p w14:paraId="08929ABB" w14:textId="77777777" w:rsidR="003743BB" w:rsidRDefault="003743BB" w:rsidP="003743BB">
      <w:pPr>
        <w:spacing w:before="0" w:after="0" w:line="480" w:lineRule="auto"/>
        <w:ind w:firstLine="720"/>
        <w:contextualSpacing/>
      </w:pPr>
      <w:r>
        <w:t>Also, individuals prosecuted with property damage offenses are suited for pretrial release. The judicial officials will have to determine the type and amount of bond to be paid by the defendant before being released. However, if the victims are family members, the individual may be denied pretrial release (</w:t>
      </w:r>
      <w:proofErr w:type="spellStart"/>
      <w:r>
        <w:t>Oleson</w:t>
      </w:r>
      <w:proofErr w:type="spellEnd"/>
      <w:r>
        <w:t xml:space="preserve"> et al., 2016). Property damage offence caused by drugs influence may also lead to denial of pretrial release. </w:t>
      </w:r>
    </w:p>
    <w:p w14:paraId="7B46B539" w14:textId="77777777" w:rsidR="003743BB" w:rsidRDefault="003743BB" w:rsidP="003743BB">
      <w:pPr>
        <w:spacing w:before="0" w:after="0" w:line="480" w:lineRule="auto"/>
        <w:ind w:firstLine="720"/>
        <w:contextualSpacing/>
      </w:pPr>
      <w:r>
        <w:t>All individuals persecuted with capital offenses are not eligible for pretrial release. Other crimes that are exempted from pretrial release include individual charged with sex and violent crime, individuals charged with trafficking a controlled substance, individuals charged with unlawful use weapons, individuals charged with murder, and also individuals charged with terrorist threats among others.</w:t>
      </w:r>
    </w:p>
    <w:p w14:paraId="594D02FD" w14:textId="099E0064" w:rsidR="001E5006" w:rsidRDefault="003743BB" w:rsidP="003743BB">
      <w:pPr>
        <w:spacing w:before="0" w:after="0" w:line="480" w:lineRule="auto"/>
        <w:ind w:firstLine="720"/>
        <w:contextualSpacing/>
      </w:pPr>
      <w:r>
        <w:t>Lastly, individuals detained with offensive behaviors also are suited for pretrial release. The release is only executed after the determination of the type of bond by judicial officials and payment of the bond by the defendant.</w:t>
      </w:r>
      <w:r w:rsidR="00654787">
        <w:t xml:space="preserve"> Therefore, from this analysis, an inference can be outlined </w:t>
      </w:r>
      <w:r w:rsidR="00654787">
        <w:lastRenderedPageBreak/>
        <w:t xml:space="preserve">emphasizing on the need to get to the bottom of any matter before the judiciary declare a pretrial release to any individual. </w:t>
      </w:r>
      <w:r w:rsidR="00737601">
        <w:br w:type="page"/>
      </w:r>
    </w:p>
    <w:p w14:paraId="7A7889BC" w14:textId="77777777" w:rsidR="000753EB" w:rsidRDefault="00737601" w:rsidP="00323684">
      <w:pPr>
        <w:spacing w:before="0" w:after="0" w:line="480" w:lineRule="auto"/>
        <w:contextualSpacing/>
        <w:jc w:val="center"/>
      </w:pPr>
      <w:r>
        <w:lastRenderedPageBreak/>
        <w:t>References</w:t>
      </w:r>
    </w:p>
    <w:p w14:paraId="71883747" w14:textId="0D81AB29" w:rsidR="000753EB" w:rsidRPr="00654787" w:rsidRDefault="00737601" w:rsidP="00654787">
      <w:pPr>
        <w:spacing w:before="0" w:after="0" w:line="480" w:lineRule="auto"/>
        <w:ind w:left="720" w:hanging="720"/>
        <w:contextualSpacing/>
        <w:rPr>
          <w:rFonts w:eastAsia="Times New Roman" w:cs="Times New Roman"/>
          <w:i/>
          <w:iCs/>
          <w:szCs w:val="24"/>
        </w:rPr>
      </w:pPr>
      <w:r w:rsidRPr="000753EB">
        <w:rPr>
          <w:rFonts w:eastAsia="Times New Roman" w:cs="Times New Roman"/>
          <w:szCs w:val="24"/>
        </w:rPr>
        <w:t xml:space="preserve">Levin, D. J. (2007). </w:t>
      </w:r>
      <w:r w:rsidRPr="000753EB">
        <w:rPr>
          <w:rFonts w:eastAsia="Times New Roman" w:cs="Times New Roman"/>
          <w:i/>
          <w:iCs/>
          <w:szCs w:val="24"/>
        </w:rPr>
        <w:t xml:space="preserve">Examining the Efficacy of Pretrial Release Conditions, Sanctions and Screening with State Court Processing Statistics </w:t>
      </w:r>
      <w:proofErr w:type="spellStart"/>
      <w:r w:rsidRPr="000753EB">
        <w:rPr>
          <w:rFonts w:eastAsia="Times New Roman" w:cs="Times New Roman"/>
          <w:i/>
          <w:iCs/>
          <w:szCs w:val="24"/>
        </w:rPr>
        <w:t>Dataseries</w:t>
      </w:r>
      <w:proofErr w:type="spellEnd"/>
      <w:r w:rsidRPr="000753EB">
        <w:rPr>
          <w:rFonts w:eastAsia="Times New Roman" w:cs="Times New Roman"/>
          <w:szCs w:val="24"/>
        </w:rPr>
        <w:t>. PJI, Pretrial Justice Institute.</w:t>
      </w:r>
    </w:p>
    <w:p w14:paraId="30618737" w14:textId="42900B87" w:rsidR="000753EB" w:rsidRPr="000753EB" w:rsidRDefault="00737601" w:rsidP="00654787">
      <w:pPr>
        <w:spacing w:before="0" w:after="0" w:line="480" w:lineRule="auto"/>
        <w:ind w:left="720" w:hanging="720"/>
        <w:contextualSpacing/>
        <w:rPr>
          <w:rFonts w:eastAsia="Times New Roman" w:cs="Times New Roman"/>
          <w:szCs w:val="24"/>
        </w:rPr>
      </w:pPr>
      <w:proofErr w:type="spellStart"/>
      <w:r w:rsidRPr="000753EB">
        <w:rPr>
          <w:rFonts w:eastAsia="Times New Roman" w:cs="Times New Roman"/>
          <w:szCs w:val="24"/>
        </w:rPr>
        <w:t>Oleson</w:t>
      </w:r>
      <w:proofErr w:type="spellEnd"/>
      <w:r w:rsidRPr="000753EB">
        <w:rPr>
          <w:rFonts w:eastAsia="Times New Roman" w:cs="Times New Roman"/>
          <w:szCs w:val="24"/>
        </w:rPr>
        <w:t xml:space="preserve">, J. C., </w:t>
      </w:r>
      <w:proofErr w:type="spellStart"/>
      <w:r w:rsidRPr="000753EB">
        <w:rPr>
          <w:rFonts w:eastAsia="Times New Roman" w:cs="Times New Roman"/>
          <w:szCs w:val="24"/>
        </w:rPr>
        <w:t>Lowenkamp</w:t>
      </w:r>
      <w:proofErr w:type="spellEnd"/>
      <w:r w:rsidRPr="000753EB">
        <w:rPr>
          <w:rFonts w:eastAsia="Times New Roman" w:cs="Times New Roman"/>
          <w:szCs w:val="24"/>
        </w:rPr>
        <w:t xml:space="preserve">, C. T., </w:t>
      </w:r>
      <w:proofErr w:type="spellStart"/>
      <w:r w:rsidRPr="000753EB">
        <w:rPr>
          <w:rFonts w:eastAsia="Times New Roman" w:cs="Times New Roman"/>
          <w:szCs w:val="24"/>
        </w:rPr>
        <w:t>Cadigan</w:t>
      </w:r>
      <w:proofErr w:type="spellEnd"/>
      <w:r w:rsidRPr="000753EB">
        <w:rPr>
          <w:rFonts w:eastAsia="Times New Roman" w:cs="Times New Roman"/>
          <w:szCs w:val="24"/>
        </w:rPr>
        <w:t xml:space="preserve">, T. P., </w:t>
      </w:r>
      <w:proofErr w:type="spellStart"/>
      <w:r w:rsidRPr="000753EB">
        <w:rPr>
          <w:rFonts w:eastAsia="Times New Roman" w:cs="Times New Roman"/>
          <w:szCs w:val="24"/>
        </w:rPr>
        <w:t>VanNostrand</w:t>
      </w:r>
      <w:proofErr w:type="spellEnd"/>
      <w:r w:rsidRPr="000753EB">
        <w:rPr>
          <w:rFonts w:eastAsia="Times New Roman" w:cs="Times New Roman"/>
          <w:szCs w:val="24"/>
        </w:rPr>
        <w:t xml:space="preserve">, M., &amp; </w:t>
      </w:r>
      <w:proofErr w:type="spellStart"/>
      <w:r w:rsidRPr="000753EB">
        <w:rPr>
          <w:rFonts w:eastAsia="Times New Roman" w:cs="Times New Roman"/>
          <w:szCs w:val="24"/>
        </w:rPr>
        <w:t>Wooldredge</w:t>
      </w:r>
      <w:proofErr w:type="spellEnd"/>
      <w:r w:rsidRPr="000753EB">
        <w:rPr>
          <w:rFonts w:eastAsia="Times New Roman" w:cs="Times New Roman"/>
          <w:szCs w:val="24"/>
        </w:rPr>
        <w:t xml:space="preserve">, J. (2016). The effect of pretrial detention on sentencing in two federal districts. </w:t>
      </w:r>
      <w:r w:rsidRPr="000753EB">
        <w:rPr>
          <w:rFonts w:eastAsia="Times New Roman" w:cs="Times New Roman"/>
          <w:i/>
          <w:iCs/>
          <w:szCs w:val="24"/>
        </w:rPr>
        <w:t>Justice Quarterly</w:t>
      </w:r>
      <w:r w:rsidRPr="000753EB">
        <w:rPr>
          <w:rFonts w:eastAsia="Times New Roman" w:cs="Times New Roman"/>
          <w:szCs w:val="24"/>
        </w:rPr>
        <w:t xml:space="preserve">, </w:t>
      </w:r>
      <w:r w:rsidRPr="000753EB">
        <w:rPr>
          <w:rFonts w:eastAsia="Times New Roman" w:cs="Times New Roman"/>
          <w:i/>
          <w:iCs/>
          <w:szCs w:val="24"/>
        </w:rPr>
        <w:t>33</w:t>
      </w:r>
      <w:r w:rsidRPr="000753EB">
        <w:rPr>
          <w:rFonts w:eastAsia="Times New Roman" w:cs="Times New Roman"/>
          <w:szCs w:val="24"/>
        </w:rPr>
        <w:t>(6), 1103-1122.</w:t>
      </w:r>
    </w:p>
    <w:p w14:paraId="484FD18A" w14:textId="2B170666" w:rsidR="001F7D27" w:rsidRPr="001F7D27" w:rsidRDefault="00737601" w:rsidP="00654787">
      <w:pPr>
        <w:spacing w:before="0" w:after="0" w:line="480" w:lineRule="auto"/>
        <w:ind w:left="720" w:hanging="720"/>
        <w:contextualSpacing/>
        <w:rPr>
          <w:rFonts w:eastAsia="Times New Roman" w:cs="Times New Roman"/>
          <w:szCs w:val="24"/>
        </w:rPr>
      </w:pPr>
      <w:proofErr w:type="spellStart"/>
      <w:r w:rsidRPr="001F7D27">
        <w:rPr>
          <w:rFonts w:eastAsia="Times New Roman" w:cs="Times New Roman"/>
          <w:szCs w:val="24"/>
        </w:rPr>
        <w:t>Pinchevsky</w:t>
      </w:r>
      <w:proofErr w:type="spellEnd"/>
      <w:r w:rsidRPr="001F7D27">
        <w:rPr>
          <w:rFonts w:eastAsia="Times New Roman" w:cs="Times New Roman"/>
          <w:szCs w:val="24"/>
        </w:rPr>
        <w:t xml:space="preserve">, G. M., &amp; Steiner, B. (2016). Sex-based disparities in pretrial release decisions and outcomes. </w:t>
      </w:r>
      <w:r w:rsidRPr="001F7D27">
        <w:rPr>
          <w:rFonts w:eastAsia="Times New Roman" w:cs="Times New Roman"/>
          <w:i/>
          <w:iCs/>
          <w:szCs w:val="24"/>
        </w:rPr>
        <w:t>Crime &amp; Delinquency</w:t>
      </w:r>
      <w:r w:rsidRPr="001F7D27">
        <w:rPr>
          <w:rFonts w:eastAsia="Times New Roman" w:cs="Times New Roman"/>
          <w:szCs w:val="24"/>
        </w:rPr>
        <w:t xml:space="preserve">, </w:t>
      </w:r>
      <w:r w:rsidRPr="001F7D27">
        <w:rPr>
          <w:rFonts w:eastAsia="Times New Roman" w:cs="Times New Roman"/>
          <w:i/>
          <w:iCs/>
          <w:szCs w:val="24"/>
        </w:rPr>
        <w:t>62</w:t>
      </w:r>
      <w:r w:rsidRPr="001F7D27">
        <w:rPr>
          <w:rFonts w:eastAsia="Times New Roman" w:cs="Times New Roman"/>
          <w:szCs w:val="24"/>
        </w:rPr>
        <w:t>(3), 308-340.</w:t>
      </w:r>
    </w:p>
    <w:p w14:paraId="39267F3D" w14:textId="77777777" w:rsidR="000753EB" w:rsidRDefault="000753EB" w:rsidP="00323684">
      <w:pPr>
        <w:spacing w:before="0" w:after="0" w:line="480" w:lineRule="auto"/>
        <w:contextualSpacing/>
      </w:pPr>
    </w:p>
    <w:sectPr w:rsidR="000753EB" w:rsidSect="001E50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5533F0" w14:textId="77777777" w:rsidR="00024EFD" w:rsidRDefault="00024EFD">
      <w:pPr>
        <w:spacing w:before="0" w:after="0" w:line="240" w:lineRule="auto"/>
      </w:pPr>
      <w:r>
        <w:separator/>
      </w:r>
    </w:p>
  </w:endnote>
  <w:endnote w:type="continuationSeparator" w:id="0">
    <w:p w14:paraId="6ACC9F35" w14:textId="77777777" w:rsidR="00024EFD" w:rsidRDefault="00024EF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D6A466" w14:textId="77777777" w:rsidR="00024EFD" w:rsidRDefault="00024EFD">
      <w:pPr>
        <w:spacing w:before="0" w:after="0" w:line="240" w:lineRule="auto"/>
      </w:pPr>
      <w:r>
        <w:separator/>
      </w:r>
    </w:p>
  </w:footnote>
  <w:footnote w:type="continuationSeparator" w:id="0">
    <w:p w14:paraId="734840CE" w14:textId="77777777" w:rsidR="00024EFD" w:rsidRDefault="00024EFD">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304642"/>
      <w:docPartObj>
        <w:docPartGallery w:val="Page Numbers (Top of Page)"/>
        <w:docPartUnique/>
      </w:docPartObj>
    </w:sdtPr>
    <w:sdtEndPr>
      <w:rPr>
        <w:noProof/>
      </w:rPr>
    </w:sdtEndPr>
    <w:sdtContent>
      <w:p w14:paraId="73392171" w14:textId="7CCBE991" w:rsidR="001E5006" w:rsidRDefault="00737601">
        <w:pPr>
          <w:pStyle w:val="Header"/>
          <w:jc w:val="right"/>
        </w:pPr>
        <w:r>
          <w:fldChar w:fldCharType="begin"/>
        </w:r>
        <w:r>
          <w:instrText xml:space="preserve"> PAGE   \* MERGEFORMAT </w:instrText>
        </w:r>
        <w:r>
          <w:fldChar w:fldCharType="separate"/>
        </w:r>
        <w:r w:rsidR="00DE23D0">
          <w:rPr>
            <w:noProof/>
          </w:rPr>
          <w:t>5</w:t>
        </w:r>
        <w:r>
          <w:rPr>
            <w:noProof/>
          </w:rPr>
          <w:fldChar w:fldCharType="end"/>
        </w:r>
      </w:p>
    </w:sdtContent>
  </w:sdt>
  <w:p w14:paraId="71C4DF10" w14:textId="77777777" w:rsidR="005A57B1" w:rsidRDefault="00737601">
    <w:pPr>
      <w:pStyle w:val="Header"/>
    </w:pPr>
    <w:r>
      <w:t>INDIVIDUALS SUITED FOR PRETRIAL RELEASE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71C19" w14:textId="77777777" w:rsidR="005A57B1" w:rsidRDefault="00737601" w:rsidP="001E5006">
    <w:pPr>
      <w:spacing w:line="480" w:lineRule="auto"/>
    </w:pPr>
    <w:r>
      <w:t>Running head: INDIVIDUALS SUITED FOR PRETRIAL RELEASE</w:t>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44D"/>
    <w:rsid w:val="000137F2"/>
    <w:rsid w:val="00024EFD"/>
    <w:rsid w:val="000753EB"/>
    <w:rsid w:val="000A52D2"/>
    <w:rsid w:val="001B0E5D"/>
    <w:rsid w:val="001E5006"/>
    <w:rsid w:val="001F7D27"/>
    <w:rsid w:val="002220A2"/>
    <w:rsid w:val="002C3FC4"/>
    <w:rsid w:val="00323684"/>
    <w:rsid w:val="00362FD1"/>
    <w:rsid w:val="003743BB"/>
    <w:rsid w:val="00395E4A"/>
    <w:rsid w:val="004040B8"/>
    <w:rsid w:val="004575AF"/>
    <w:rsid w:val="004719A5"/>
    <w:rsid w:val="004B358F"/>
    <w:rsid w:val="005A57B1"/>
    <w:rsid w:val="0063744D"/>
    <w:rsid w:val="00654787"/>
    <w:rsid w:val="006C69A0"/>
    <w:rsid w:val="006D7608"/>
    <w:rsid w:val="00737601"/>
    <w:rsid w:val="0074326B"/>
    <w:rsid w:val="007462BB"/>
    <w:rsid w:val="008724FD"/>
    <w:rsid w:val="00896FD0"/>
    <w:rsid w:val="008F66AB"/>
    <w:rsid w:val="00974111"/>
    <w:rsid w:val="00AC4ED3"/>
    <w:rsid w:val="00AD6699"/>
    <w:rsid w:val="00DE23D0"/>
    <w:rsid w:val="00E92FF3"/>
    <w:rsid w:val="00F7028A"/>
    <w:rsid w:val="00F92547"/>
    <w:rsid w:val="00FD51BF"/>
    <w:rsid w:val="00FD6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F6AC3C-9DF8-4931-8F4E-560E0349C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7B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A57B1"/>
    <w:rPr>
      <w:rFonts w:ascii="Times New Roman" w:hAnsi="Times New Roman"/>
      <w:sz w:val="24"/>
    </w:rPr>
  </w:style>
  <w:style w:type="paragraph" w:styleId="Footer">
    <w:name w:val="footer"/>
    <w:basedOn w:val="Normal"/>
    <w:link w:val="FooterChar"/>
    <w:uiPriority w:val="99"/>
    <w:unhideWhenUsed/>
    <w:rsid w:val="005A57B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5A57B1"/>
    <w:rPr>
      <w:rFonts w:ascii="Times New Roman" w:hAnsi="Times New Roman"/>
      <w:sz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2018-10-02T21:47:00Z</dcterms:created>
  <dcterms:modified xsi:type="dcterms:W3CDTF">2018-10-02T21:47:00Z</dcterms:modified>
</cp:coreProperties>
</file>